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b071f4be62820d5ffbd01abba3f93f3ff3d8a"/>
    <w:p>
      <w:pPr>
        <w:pStyle w:val="Heading3"/>
      </w:pPr>
      <w:r>
        <w:t xml:space="preserve">Межрайонной природоохранной прокуратурой г. Москвы организована проверка информации о загрязнении реки Серебрянки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Межрайонной природоохранной прокуратурой г. Москвы организована проверка информации о загрязнении реки Серебрянки в Восточном административном округе.</w:t>
      </w:r>
    </w:p>
    <w:p>
      <w:pPr>
        <w:pStyle w:val="BodyText"/>
      </w:pPr>
      <w:r>
        <w:t xml:space="preserve">В настоящее время установлен возможный источник загрязнения водного объекта в акватории Юго-Восточного Терлецкого пруда.</w:t>
      </w:r>
    </w:p>
    <w:p>
      <w:pPr>
        <w:pStyle w:val="BodyText"/>
      </w:pPr>
      <w:r>
        <w:t xml:space="preserve">Проведены работы по локализации загрязнения, отобраны пробы воды, по результатам проверки будут приняты меры прокурорского реагирования.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http://sviblovo.mos.ru/activities/safety-and-security/detail/12916532.html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16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16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2025-04-15T16:54:41Z</dcterms:created>
  <dcterms:modified xsi:type="dcterms:W3CDTF">2025-04-15T16:54:41Z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